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70"/>
          <w:szCs w:val="70"/>
        </w:rPr>
      </w:pPr>
      <w:r w:rsidDel="00000000" w:rsidR="00000000" w:rsidRPr="00000000">
        <w:rPr>
          <w:rFonts w:ascii="Avenir" w:cs="Avenir" w:eastAsia="Avenir" w:hAnsi="Avenir"/>
          <w:b w:val="1"/>
          <w:sz w:val="70"/>
          <w:szCs w:val="70"/>
          <w:rtl w:val="0"/>
        </w:rPr>
        <w:t xml:space="preserve">RMS Girls Basketball 2023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70"/>
          <w:szCs w:val="7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5"/>
        <w:gridCol w:w="1775.0000000000002"/>
        <w:gridCol w:w="4260"/>
        <w:gridCol w:w="2520"/>
        <w:tblGridChange w:id="0">
          <w:tblGrid>
            <w:gridCol w:w="1525"/>
            <w:gridCol w:w="1775.0000000000002"/>
            <w:gridCol w:w="4260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8/31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PDL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Marianna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Bonifay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Grand 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PDL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Bonifay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Vernon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Marianna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Graceville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9/28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Grand 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5:00/6:00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10/2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Vernon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10/5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Graceville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5:00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10/12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sz w:val="48"/>
                <w:szCs w:val="48"/>
                <w:rtl w:val="0"/>
              </w:rPr>
              <w:t xml:space="preserve">TBA      Conference Tournament   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